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53282" w:rsidRPr="00D86AA7" w:rsidRDefault="00253282" w:rsidP="00253282">
      <w:pPr>
        <w:tabs>
          <w:tab w:val="center" w:pos="4536"/>
          <w:tab w:val="right" w:pos="9072"/>
        </w:tabs>
        <w:rPr>
          <w:rFonts w:ascii="Arial" w:eastAsia="Batang" w:hAnsi="Arial" w:cs="Arial"/>
          <w:b/>
          <w:bCs/>
          <w:lang w:val="en-GB"/>
        </w:rPr>
      </w:pPr>
      <w:r w:rsidRPr="00D86AA7">
        <w:rPr>
          <w:rFonts w:ascii="Arial" w:eastAsia="Batang" w:hAnsi="Arial" w:cs="Arial"/>
          <w:b/>
          <w:bCs/>
          <w:lang w:val="en-GB"/>
        </w:rPr>
        <w:t>3GPP TSG RAN WG1 #110bis-e</w:t>
      </w:r>
      <w:r w:rsidRPr="00D86AA7">
        <w:rPr>
          <w:rFonts w:ascii="Arial" w:eastAsia="Batang" w:hAnsi="Arial" w:cs="Arial"/>
          <w:b/>
          <w:bCs/>
          <w:lang w:val="en-GB"/>
        </w:rPr>
        <w:tab/>
      </w:r>
      <w:r>
        <w:rPr>
          <w:rFonts w:ascii="Arial" w:eastAsia="Batang" w:hAnsi="Arial" w:cs="Arial"/>
          <w:b/>
          <w:bCs/>
          <w:lang w:val="en-GB"/>
        </w:rPr>
        <w:tab/>
      </w:r>
      <w:r w:rsidRPr="00D86AA7">
        <w:rPr>
          <w:rFonts w:ascii="Arial" w:eastAsia="Batang" w:hAnsi="Arial" w:cs="Arial"/>
          <w:b/>
          <w:bCs/>
          <w:lang w:val="en-GB"/>
        </w:rPr>
        <w:t>R1-220</w:t>
      </w:r>
      <w:r w:rsidR="00617F76">
        <w:rPr>
          <w:rFonts w:ascii="Arial" w:eastAsia="Batang" w:hAnsi="Arial" w:cs="Arial"/>
          <w:b/>
          <w:bCs/>
          <w:lang w:val="en-GB"/>
        </w:rPr>
        <w:t>8884</w:t>
      </w:r>
    </w:p>
    <w:p w:rsidR="00253282" w:rsidRPr="00D86AA7" w:rsidRDefault="00253282" w:rsidP="00253282">
      <w:pPr>
        <w:tabs>
          <w:tab w:val="center" w:pos="4536"/>
          <w:tab w:val="right" w:pos="9072"/>
        </w:tabs>
        <w:rPr>
          <w:rFonts w:ascii="Arial" w:eastAsia="Batang" w:hAnsi="Arial" w:cs="Arial"/>
          <w:b/>
          <w:bCs/>
          <w:lang w:val="en-GB"/>
        </w:rPr>
      </w:pPr>
      <w:r w:rsidRPr="00D86AA7">
        <w:rPr>
          <w:rFonts w:ascii="Arial" w:eastAsia="Batang" w:hAnsi="Arial" w:cs="Arial"/>
          <w:b/>
          <w:bCs/>
          <w:lang w:val="en-GB"/>
        </w:rPr>
        <w:t>e-Meeting, October 10</w:t>
      </w:r>
      <w:r w:rsidRPr="00D86AA7">
        <w:rPr>
          <w:rFonts w:ascii="Arial" w:eastAsia="Batang" w:hAnsi="Arial" w:cs="Arial" w:hint="eastAsia"/>
          <w:b/>
          <w:bCs/>
          <w:lang w:val="en-GB"/>
        </w:rPr>
        <w:t>th</w:t>
      </w:r>
      <w:r w:rsidRPr="00D86AA7">
        <w:rPr>
          <w:rFonts w:ascii="Arial" w:eastAsia="Batang" w:hAnsi="Arial" w:cs="Arial"/>
          <w:b/>
          <w:bCs/>
          <w:lang w:val="en-GB"/>
        </w:rPr>
        <w:t xml:space="preserve"> – 19th, 2022</w:t>
      </w:r>
    </w:p>
    <w:p w:rsidR="00557396" w:rsidRPr="00253282"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w:t>
      </w:r>
      <w:r w:rsidR="00105DE0">
        <w:rPr>
          <w:sz w:val="22"/>
          <w:szCs w:val="22"/>
        </w:rPr>
        <w:t>12</w:t>
      </w:r>
      <w:r w:rsidR="00DC01E8">
        <w:rPr>
          <w:sz w:val="22"/>
          <w:szCs w:val="22"/>
        </w:rPr>
        <w:t>.</w:t>
      </w:r>
      <w:r w:rsidR="00105DE0">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105DE0">
        <w:rPr>
          <w:sz w:val="22"/>
          <w:szCs w:val="22"/>
        </w:rPr>
        <w:t>Inter-Cell Beam Management Enhancement for NR Mobility</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105DE0" w:rsidP="00557396">
      <w:pPr>
        <w:pStyle w:val="0Maintext"/>
        <w:spacing w:after="120" w:afterAutospacing="0" w:line="240" w:lineRule="auto"/>
        <w:ind w:firstLine="0"/>
        <w:rPr>
          <w:rFonts w:eastAsiaTheme="minorEastAsia"/>
          <w:lang w:val="en-US" w:eastAsia="zh-CN"/>
        </w:rPr>
      </w:pPr>
      <w:r>
        <w:rPr>
          <w:lang w:val="en-US"/>
        </w:rPr>
        <w:t>For Rel-18 mobility enhancement, the following objective on RAN1 related enhancement were agreed.</w:t>
      </w:r>
    </w:p>
    <w:tbl>
      <w:tblPr>
        <w:tblStyle w:val="TableGrid"/>
        <w:tblW w:w="0" w:type="auto"/>
        <w:tblLook w:val="04A0" w:firstRow="1" w:lastRow="0" w:firstColumn="1" w:lastColumn="0" w:noHBand="0" w:noVBand="1"/>
      </w:tblPr>
      <w:tblGrid>
        <w:gridCol w:w="9010"/>
      </w:tblGrid>
      <w:tr w:rsidR="00557396" w:rsidRPr="00105DE0" w:rsidTr="00557396">
        <w:tc>
          <w:tcPr>
            <w:tcW w:w="9010" w:type="dxa"/>
          </w:tcPr>
          <w:p w:rsidR="00105DE0" w:rsidRPr="00105DE0" w:rsidRDefault="00105DE0" w:rsidP="00105DE0">
            <w:pPr>
              <w:numPr>
                <w:ilvl w:val="0"/>
                <w:numId w:val="27"/>
              </w:numPr>
              <w:jc w:val="both"/>
              <w:rPr>
                <w:bCs/>
                <w:sz w:val="20"/>
                <w:szCs w:val="20"/>
              </w:rPr>
            </w:pPr>
            <w:r w:rsidRPr="00105DE0">
              <w:rPr>
                <w:bCs/>
                <w:sz w:val="20"/>
                <w:szCs w:val="20"/>
              </w:rPr>
              <w:t xml:space="preserve">To specify mechanism and procedures of </w:t>
            </w:r>
            <w:r w:rsidRPr="00105DE0">
              <w:rPr>
                <w:rFonts w:hint="eastAsia"/>
                <w:bCs/>
                <w:sz w:val="20"/>
                <w:szCs w:val="20"/>
              </w:rPr>
              <w:t>L</w:t>
            </w:r>
            <w:r w:rsidRPr="00105DE0">
              <w:rPr>
                <w:bCs/>
                <w:sz w:val="20"/>
                <w:szCs w:val="20"/>
              </w:rPr>
              <w:t>1/L2 based inter-cell mobility for mobility latency reduction:</w:t>
            </w:r>
          </w:p>
          <w:p w:rsidR="00105DE0" w:rsidRPr="00105DE0" w:rsidRDefault="00105DE0" w:rsidP="00105DE0">
            <w:pPr>
              <w:numPr>
                <w:ilvl w:val="0"/>
                <w:numId w:val="28"/>
              </w:numPr>
              <w:jc w:val="both"/>
              <w:rPr>
                <w:bCs/>
                <w:sz w:val="20"/>
                <w:szCs w:val="20"/>
              </w:rPr>
            </w:pPr>
            <w:r w:rsidRPr="00105DE0">
              <w:rPr>
                <w:bCs/>
                <w:sz w:val="20"/>
                <w:szCs w:val="20"/>
              </w:rPr>
              <w:t>Configuration and maintenance for multiple candidate cells to allow fast application of configurations for candidate cells [RAN2, RAN3]</w:t>
            </w:r>
          </w:p>
          <w:p w:rsidR="00105DE0" w:rsidRPr="00105DE0" w:rsidRDefault="00105DE0" w:rsidP="00105DE0">
            <w:pPr>
              <w:numPr>
                <w:ilvl w:val="0"/>
                <w:numId w:val="28"/>
              </w:numPr>
              <w:jc w:val="both"/>
              <w:rPr>
                <w:bCs/>
                <w:sz w:val="20"/>
                <w:szCs w:val="20"/>
              </w:rPr>
            </w:pPr>
            <w:r w:rsidRPr="00105DE0">
              <w:rPr>
                <w:bCs/>
                <w:sz w:val="20"/>
                <w:szCs w:val="20"/>
              </w:rPr>
              <w:t xml:space="preserve">Dynamic switch mechanism among candidate serving cells (including </w:t>
            </w:r>
            <w:proofErr w:type="spellStart"/>
            <w:r w:rsidRPr="00105DE0">
              <w:rPr>
                <w:bCs/>
                <w:sz w:val="20"/>
                <w:szCs w:val="20"/>
              </w:rPr>
              <w:t>SpCell</w:t>
            </w:r>
            <w:proofErr w:type="spellEnd"/>
            <w:r w:rsidRPr="00105DE0">
              <w:rPr>
                <w:bCs/>
                <w:sz w:val="20"/>
                <w:szCs w:val="20"/>
              </w:rPr>
              <w:t xml:space="preserve"> and SCell) for the potential applicable scenarios based on L1</w:t>
            </w:r>
            <w:r w:rsidRPr="00105DE0">
              <w:rPr>
                <w:rFonts w:hint="eastAsia"/>
                <w:bCs/>
                <w:sz w:val="20"/>
                <w:szCs w:val="20"/>
              </w:rPr>
              <w:t>/</w:t>
            </w:r>
            <w:r w:rsidRPr="00105DE0">
              <w:rPr>
                <w:bCs/>
                <w:sz w:val="20"/>
                <w:szCs w:val="20"/>
              </w:rPr>
              <w:t xml:space="preserve">L2 </w:t>
            </w:r>
            <w:proofErr w:type="spellStart"/>
            <w:r w:rsidRPr="00105DE0">
              <w:rPr>
                <w:bCs/>
                <w:sz w:val="20"/>
                <w:szCs w:val="20"/>
              </w:rPr>
              <w:t>signalling</w:t>
            </w:r>
            <w:proofErr w:type="spellEnd"/>
            <w:r w:rsidRPr="00105DE0">
              <w:rPr>
                <w:bCs/>
                <w:sz w:val="20"/>
                <w:szCs w:val="20"/>
              </w:rPr>
              <w:t xml:space="preserve"> [RAN2, RAN1]</w:t>
            </w:r>
          </w:p>
          <w:p w:rsidR="00105DE0" w:rsidRPr="00105DE0" w:rsidRDefault="00105DE0" w:rsidP="00105DE0">
            <w:pPr>
              <w:numPr>
                <w:ilvl w:val="0"/>
                <w:numId w:val="28"/>
              </w:numPr>
              <w:jc w:val="both"/>
              <w:rPr>
                <w:bCs/>
                <w:sz w:val="20"/>
                <w:szCs w:val="20"/>
                <w:highlight w:val="yellow"/>
              </w:rPr>
            </w:pPr>
            <w:r w:rsidRPr="00105DE0">
              <w:rPr>
                <w:bCs/>
                <w:sz w:val="20"/>
                <w:szCs w:val="20"/>
                <w:highlight w:val="yellow"/>
              </w:rPr>
              <w:t xml:space="preserve">L1 enhancements for inter-cell beam management, including </w:t>
            </w:r>
            <w:r w:rsidRPr="00105DE0">
              <w:rPr>
                <w:rFonts w:hint="eastAsia"/>
                <w:bCs/>
                <w:sz w:val="20"/>
                <w:szCs w:val="20"/>
                <w:highlight w:val="yellow"/>
              </w:rPr>
              <w:t>L</w:t>
            </w:r>
            <w:r w:rsidRPr="00105DE0">
              <w:rPr>
                <w:bCs/>
                <w:sz w:val="20"/>
                <w:szCs w:val="20"/>
                <w:highlight w:val="yellow"/>
              </w:rPr>
              <w:t>1 measurement and reporting, and beam indication [RAN1, RAN2]</w:t>
            </w:r>
          </w:p>
          <w:p w:rsidR="00105DE0" w:rsidRPr="00105DE0" w:rsidRDefault="00105DE0" w:rsidP="00105DE0">
            <w:pPr>
              <w:numPr>
                <w:ilvl w:val="1"/>
                <w:numId w:val="28"/>
              </w:numPr>
              <w:jc w:val="both"/>
              <w:rPr>
                <w:bCs/>
                <w:i/>
                <w:sz w:val="20"/>
                <w:szCs w:val="20"/>
              </w:rPr>
            </w:pPr>
            <w:r w:rsidRPr="00105DE0">
              <w:rPr>
                <w:bCs/>
                <w:i/>
                <w:sz w:val="20"/>
                <w:szCs w:val="20"/>
              </w:rPr>
              <w:t>Note 1: Early RAN2 involvement is necessary, including the possibility of further clarifying the interaction between this bullet with the previous bullet</w:t>
            </w:r>
          </w:p>
          <w:p w:rsidR="00105DE0" w:rsidRPr="00105DE0" w:rsidRDefault="00105DE0" w:rsidP="00105DE0">
            <w:pPr>
              <w:numPr>
                <w:ilvl w:val="0"/>
                <w:numId w:val="28"/>
              </w:numPr>
              <w:jc w:val="both"/>
              <w:rPr>
                <w:bCs/>
                <w:sz w:val="20"/>
                <w:szCs w:val="20"/>
              </w:rPr>
            </w:pPr>
            <w:r w:rsidRPr="00105DE0">
              <w:rPr>
                <w:bCs/>
                <w:sz w:val="20"/>
                <w:szCs w:val="20"/>
              </w:rPr>
              <w:t>Timing Advance management [RAN1, RAN2]</w:t>
            </w:r>
          </w:p>
          <w:p w:rsidR="00105DE0" w:rsidRPr="00105DE0" w:rsidRDefault="00105DE0" w:rsidP="00105DE0">
            <w:pPr>
              <w:numPr>
                <w:ilvl w:val="0"/>
                <w:numId w:val="28"/>
              </w:numPr>
              <w:jc w:val="both"/>
              <w:rPr>
                <w:bCs/>
                <w:sz w:val="20"/>
                <w:szCs w:val="20"/>
              </w:rPr>
            </w:pPr>
            <w:r w:rsidRPr="00105DE0">
              <w:rPr>
                <w:bCs/>
                <w:sz w:val="20"/>
                <w:szCs w:val="20"/>
              </w:rPr>
              <w:t>CU-DU interface signaling to support L1/</w:t>
            </w:r>
            <w:r w:rsidRPr="00105DE0">
              <w:rPr>
                <w:rFonts w:hint="eastAsia"/>
                <w:bCs/>
                <w:sz w:val="20"/>
                <w:szCs w:val="20"/>
              </w:rPr>
              <w:t>L</w:t>
            </w:r>
            <w:r w:rsidRPr="00105DE0">
              <w:rPr>
                <w:bCs/>
                <w:sz w:val="20"/>
                <w:szCs w:val="20"/>
              </w:rPr>
              <w:t>2 mobility, if needed [RAN3]</w:t>
            </w:r>
          </w:p>
          <w:p w:rsidR="00253282" w:rsidRPr="00105DE0" w:rsidRDefault="00253282" w:rsidP="00253282">
            <w:pPr>
              <w:rPr>
                <w:rFonts w:cs="Times"/>
                <w:sz w:val="20"/>
                <w:szCs w:val="20"/>
              </w:rPr>
            </w:pPr>
          </w:p>
          <w:p w:rsidR="00557396" w:rsidRPr="00105DE0" w:rsidRDefault="00557396" w:rsidP="00906A9A">
            <w:pPr>
              <w:shd w:val="clear" w:color="auto" w:fill="FFFFFF"/>
              <w:contextualSpacing/>
              <w:rPr>
                <w:sz w:val="20"/>
                <w:szCs w:val="20"/>
              </w:rPr>
            </w:pPr>
          </w:p>
        </w:tc>
      </w:tr>
    </w:tbl>
    <w:p w:rsidR="00557396" w:rsidRDefault="00557396" w:rsidP="00557396">
      <w:pPr>
        <w:pStyle w:val="0Maintext"/>
        <w:spacing w:after="120" w:afterAutospacing="0" w:line="240" w:lineRule="auto"/>
        <w:ind w:firstLine="0"/>
        <w:rPr>
          <w:lang w:val="en-US"/>
        </w:rPr>
      </w:pPr>
    </w:p>
    <w:p w:rsidR="00557396" w:rsidRDefault="00557396" w:rsidP="00557396">
      <w:pPr>
        <w:pStyle w:val="0Maintext"/>
        <w:spacing w:after="120" w:afterAutospacing="0" w:line="240" w:lineRule="auto"/>
        <w:ind w:firstLine="0"/>
        <w:rPr>
          <w:lang w:val="en-US"/>
        </w:rPr>
      </w:pPr>
      <w:r>
        <w:rPr>
          <w:lang w:val="en-US"/>
        </w:rPr>
        <w:t>In this contribution, we provide some discussion</w:t>
      </w:r>
      <w:r w:rsidR="00E56179">
        <w:rPr>
          <w:lang w:val="en-US"/>
        </w:rPr>
        <w:t>s</w:t>
      </w:r>
      <w:r>
        <w:rPr>
          <w:lang w:val="en-US"/>
        </w:rPr>
        <w:t xml:space="preserve"> on </w:t>
      </w:r>
      <w:r w:rsidR="00105DE0">
        <w:rPr>
          <w:lang w:val="en-US"/>
        </w:rPr>
        <w:t>L1 enhancement for inter-cell beam management</w:t>
      </w:r>
      <w:r>
        <w:rPr>
          <w:lang w:val="en-US"/>
        </w:rPr>
        <w:t>.</w:t>
      </w:r>
    </w:p>
    <w:p w:rsidR="001F1EBF" w:rsidRDefault="00105DE0" w:rsidP="001F1EBF">
      <w:pPr>
        <w:pStyle w:val="Heading1"/>
      </w:pPr>
      <w:r>
        <w:t xml:space="preserve">Rel-17 inter-cell beam management </w:t>
      </w:r>
    </w:p>
    <w:p w:rsidR="00167245" w:rsidRDefault="00105DE0" w:rsidP="00557396">
      <w:pPr>
        <w:pStyle w:val="0Maintext"/>
        <w:spacing w:after="120" w:afterAutospacing="0" w:line="240" w:lineRule="auto"/>
        <w:ind w:firstLine="0"/>
        <w:rPr>
          <w:lang w:val="en-US"/>
        </w:rPr>
      </w:pPr>
      <w:r>
        <w:rPr>
          <w:lang w:val="en-US"/>
        </w:rPr>
        <w:t xml:space="preserve">In Rel-17, the inter-cell BM has been introduced, which is based on unified TCI framework. The gNB can indicate a joint TCI or a pair of </w:t>
      </w:r>
      <w:r w:rsidR="00167245">
        <w:rPr>
          <w:lang w:val="en-US"/>
        </w:rPr>
        <w:t>DL/UL</w:t>
      </w:r>
      <w:r>
        <w:rPr>
          <w:lang w:val="en-US"/>
        </w:rPr>
        <w:t xml:space="preserve"> TCI</w:t>
      </w:r>
      <w:r w:rsidR="00167245">
        <w:rPr>
          <w:lang w:val="en-US"/>
        </w:rPr>
        <w:t>s</w:t>
      </w:r>
      <w:r>
        <w:rPr>
          <w:lang w:val="en-US"/>
        </w:rPr>
        <w:t xml:space="preserve"> associated with a neighbor cell SSB for dedicated DL/UL channels. The non-dedicated signals should still be based on the TCI associated with a serving cell SSB. </w:t>
      </w:r>
      <w:r w:rsidR="00167245">
        <w:rPr>
          <w:lang w:val="en-US"/>
        </w:rPr>
        <w:t xml:space="preserve">The non-dedicated signals include the PDCCH in a CORESET associated with at least one Type 0/0A/1/2 CSS as well as the scheduled PDSCH. For intra-cell BM, the gNB can also indicate a joint TCI or a pair of DL/UL TCI associated with a serving cell SSB based on the same mechanism as inter-cell BM, where the TCI is provided by MAC CE or DCI format 1_1/1_2. The action delay for TCI indication for intra-cell BM and inter-cell BM is the same. For MAC CE based TCI indication, the action delay is always 3ms after the ACK for the MAC CE. For DCI based TCI indication, the action delay is configured by RRC parameter </w:t>
      </w:r>
      <w:proofErr w:type="spellStart"/>
      <w:r w:rsidR="00CC66DF" w:rsidRPr="00CC66DF">
        <w:rPr>
          <w:i/>
          <w:iCs/>
          <w:lang w:val="en-US"/>
        </w:rPr>
        <w:t>beamAppTime</w:t>
      </w:r>
      <w:proofErr w:type="spellEnd"/>
      <w:r w:rsidR="00CC66DF">
        <w:rPr>
          <w:lang w:val="en-US"/>
        </w:rPr>
        <w:t>.</w:t>
      </w:r>
    </w:p>
    <w:p w:rsidR="00CC66DF" w:rsidRDefault="00CC66DF" w:rsidP="00557396">
      <w:pPr>
        <w:pStyle w:val="0Maintext"/>
        <w:spacing w:after="120" w:afterAutospacing="0" w:line="240" w:lineRule="auto"/>
        <w:ind w:firstLine="0"/>
        <w:rPr>
          <w:lang w:val="en-US"/>
        </w:rPr>
      </w:pPr>
      <w:r>
        <w:rPr>
          <w:lang w:val="en-US"/>
        </w:rPr>
        <w:t xml:space="preserve">In addition, inter-cell BM also supports inter-cell BFR, where the CBD RS can be an RS from the neighbor cell. After 28 symbols after the UE receives the response to the BFRQ from the gNB, the UE can automatically apply the reported new beam to the dedicate signals. </w:t>
      </w:r>
    </w:p>
    <w:p w:rsidR="00167245" w:rsidRPr="00CC66DF" w:rsidRDefault="00CC66DF" w:rsidP="00557396">
      <w:pPr>
        <w:pStyle w:val="0Maintext"/>
        <w:spacing w:after="120" w:afterAutospacing="0" w:line="240" w:lineRule="auto"/>
        <w:ind w:firstLine="0"/>
        <w:rPr>
          <w:b/>
          <w:bCs/>
          <w:i/>
          <w:iCs/>
          <w:lang w:val="en-US"/>
        </w:rPr>
      </w:pPr>
      <w:r w:rsidRPr="00CC66DF">
        <w:rPr>
          <w:b/>
          <w:bCs/>
          <w:i/>
          <w:iCs/>
          <w:lang w:val="en-US"/>
        </w:rPr>
        <w:t>Observation 1: In Rel-17, inter-cell BM is only applicable for dedicated signals.</w:t>
      </w:r>
    </w:p>
    <w:p w:rsidR="00CC66DF" w:rsidRPr="00CC66DF" w:rsidRDefault="00CC66DF" w:rsidP="00557396">
      <w:pPr>
        <w:pStyle w:val="0Maintext"/>
        <w:spacing w:after="120" w:afterAutospacing="0" w:line="240" w:lineRule="auto"/>
        <w:ind w:firstLine="0"/>
        <w:rPr>
          <w:b/>
          <w:bCs/>
          <w:i/>
          <w:iCs/>
          <w:lang w:val="en-US"/>
        </w:rPr>
      </w:pPr>
      <w:r w:rsidRPr="00CC66DF">
        <w:rPr>
          <w:b/>
          <w:bCs/>
          <w:i/>
          <w:iCs/>
          <w:lang w:val="en-US"/>
        </w:rPr>
        <w:t>Observation 2: In Rel-17, intra-cell BM and inter-cell BM share the same TCI indication framework and action delay.</w:t>
      </w:r>
    </w:p>
    <w:p w:rsidR="00CC66DF" w:rsidRPr="00CC66DF" w:rsidRDefault="00CC66DF" w:rsidP="00557396">
      <w:pPr>
        <w:pStyle w:val="0Maintext"/>
        <w:spacing w:after="120" w:afterAutospacing="0" w:line="240" w:lineRule="auto"/>
        <w:ind w:firstLine="0"/>
        <w:rPr>
          <w:b/>
          <w:bCs/>
          <w:i/>
          <w:iCs/>
          <w:lang w:val="en-US"/>
        </w:rPr>
      </w:pPr>
      <w:r w:rsidRPr="00CC66DF">
        <w:rPr>
          <w:b/>
          <w:bCs/>
          <w:i/>
          <w:iCs/>
          <w:lang w:val="en-US"/>
        </w:rPr>
        <w:t>Observation 3: Rel-17 supports BFR operation based on a neighbor cell CBD RS.</w:t>
      </w:r>
    </w:p>
    <w:p w:rsidR="00CC66DF" w:rsidRDefault="00CC66DF" w:rsidP="00CC66DF">
      <w:pPr>
        <w:pStyle w:val="Heading1"/>
      </w:pPr>
      <w:r>
        <w:lastRenderedPageBreak/>
        <w:t>Beam indication enhancement for Rel-18 mobility</w:t>
      </w:r>
    </w:p>
    <w:p w:rsidR="00BD6CCE" w:rsidRDefault="00BD6CCE" w:rsidP="00557396">
      <w:pPr>
        <w:pStyle w:val="0Maintext"/>
        <w:spacing w:after="120" w:afterAutospacing="0" w:line="240" w:lineRule="auto"/>
        <w:ind w:firstLine="0"/>
        <w:rPr>
          <w:lang w:val="en-US"/>
        </w:rPr>
      </w:pPr>
      <w:r>
        <w:rPr>
          <w:lang w:val="en-US"/>
        </w:rPr>
        <w:t>Compared to Rel-17 inter-cell BM, which does not allow serving cell change, the</w:t>
      </w:r>
      <w:r w:rsidR="00CC66DF">
        <w:rPr>
          <w:lang w:val="en-US"/>
        </w:rPr>
        <w:t xml:space="preserve"> Rel-18 mobility enhancement</w:t>
      </w:r>
      <w:r>
        <w:rPr>
          <w:lang w:val="en-US"/>
        </w:rPr>
        <w:t xml:space="preserve"> should support the serving cell change after beam indication. The beam indication for Rel-18 mobility enhancement should be based on the unified TCI framework as well. However, since the serving cell change is allowed, the indicated TCI should be applied to the non-UE dedicated signals. Whether the serving cell should be changed or not can be based on whether the indicated TCI is applied to non-UE dedicated signals or not.</w:t>
      </w:r>
      <w:r w:rsidR="00911EEF">
        <w:rPr>
          <w:lang w:val="en-US"/>
        </w:rPr>
        <w:t xml:space="preserve"> For beam indication with serving cell change, it could require the UE to update RRC parameters based on the target cell’s configuration. Thus, it is necessary to introduce a second action delay for beam indication.</w:t>
      </w:r>
    </w:p>
    <w:p w:rsidR="00BD6CCE" w:rsidRDefault="00BD6CCE" w:rsidP="00557396">
      <w:pPr>
        <w:pStyle w:val="0Maintext"/>
        <w:spacing w:after="120" w:afterAutospacing="0" w:line="240" w:lineRule="auto"/>
        <w:ind w:firstLine="0"/>
        <w:rPr>
          <w:b/>
          <w:bCs/>
          <w:i/>
          <w:iCs/>
          <w:lang w:val="en-US"/>
        </w:rPr>
      </w:pPr>
      <w:r w:rsidRPr="00BD6CCE">
        <w:rPr>
          <w:b/>
          <w:bCs/>
          <w:i/>
          <w:iCs/>
          <w:lang w:val="en-US"/>
        </w:rPr>
        <w:t xml:space="preserve">Proposal 1: For Rel-18 mobility, the indicated unified TCI applied </w:t>
      </w:r>
      <w:r w:rsidR="00911EEF">
        <w:rPr>
          <w:b/>
          <w:bCs/>
          <w:i/>
          <w:iCs/>
          <w:lang w:val="en-US"/>
        </w:rPr>
        <w:t xml:space="preserve">associated with a neighbor cell SSB </w:t>
      </w:r>
      <w:r w:rsidRPr="00BD6CCE">
        <w:rPr>
          <w:b/>
          <w:bCs/>
          <w:i/>
          <w:iCs/>
          <w:lang w:val="en-US"/>
        </w:rPr>
        <w:t>to dedicated signals can also be applicable to non-UE dedicated signals.</w:t>
      </w:r>
    </w:p>
    <w:p w:rsidR="00BD6CCE" w:rsidRDefault="00911EEF" w:rsidP="00BD6CCE">
      <w:pPr>
        <w:pStyle w:val="0Maintext"/>
        <w:numPr>
          <w:ilvl w:val="0"/>
          <w:numId w:val="29"/>
        </w:numPr>
        <w:spacing w:after="120" w:afterAutospacing="0" w:line="240" w:lineRule="auto"/>
        <w:rPr>
          <w:b/>
          <w:bCs/>
          <w:i/>
          <w:iCs/>
          <w:lang w:val="en-US"/>
        </w:rPr>
      </w:pPr>
      <w:r>
        <w:rPr>
          <w:b/>
          <w:bCs/>
          <w:i/>
          <w:iCs/>
          <w:lang w:val="en-US"/>
        </w:rPr>
        <w:t xml:space="preserve">If the indicated TCI is applied to non-UE dedicated signals, </w:t>
      </w:r>
      <w:r w:rsidR="00BD6CCE">
        <w:rPr>
          <w:b/>
          <w:bCs/>
          <w:i/>
          <w:iCs/>
          <w:lang w:val="en-US"/>
        </w:rPr>
        <w:t xml:space="preserve">UE </w:t>
      </w:r>
      <w:r>
        <w:rPr>
          <w:b/>
          <w:bCs/>
          <w:i/>
          <w:iCs/>
          <w:lang w:val="en-US"/>
        </w:rPr>
        <w:t>shall</w:t>
      </w:r>
      <w:r w:rsidR="00BD6CCE">
        <w:rPr>
          <w:b/>
          <w:bCs/>
          <w:i/>
          <w:iCs/>
          <w:lang w:val="en-US"/>
        </w:rPr>
        <w:t xml:space="preserve"> </w:t>
      </w:r>
      <w:r>
        <w:rPr>
          <w:b/>
          <w:bCs/>
          <w:i/>
          <w:iCs/>
          <w:lang w:val="en-US"/>
        </w:rPr>
        <w:t>assume</w:t>
      </w:r>
      <w:r w:rsidR="00BD6CCE">
        <w:rPr>
          <w:b/>
          <w:bCs/>
          <w:i/>
          <w:iCs/>
          <w:lang w:val="en-US"/>
        </w:rPr>
        <w:t xml:space="preserve"> the serving cell should change </w:t>
      </w:r>
    </w:p>
    <w:p w:rsidR="00911EEF" w:rsidRPr="00BD6CCE" w:rsidRDefault="00911EEF" w:rsidP="00BD6CCE">
      <w:pPr>
        <w:pStyle w:val="0Maintext"/>
        <w:numPr>
          <w:ilvl w:val="0"/>
          <w:numId w:val="29"/>
        </w:numPr>
        <w:spacing w:after="120" w:afterAutospacing="0" w:line="240" w:lineRule="auto"/>
        <w:rPr>
          <w:b/>
          <w:bCs/>
          <w:i/>
          <w:iCs/>
          <w:lang w:val="en-US"/>
        </w:rPr>
      </w:pPr>
      <w:r>
        <w:rPr>
          <w:b/>
          <w:bCs/>
          <w:i/>
          <w:iCs/>
          <w:lang w:val="en-US"/>
        </w:rPr>
        <w:t>Otherwise, UE shall not assume the serving cell should change</w:t>
      </w:r>
    </w:p>
    <w:p w:rsidR="00BD6CCE" w:rsidRPr="00911EEF" w:rsidRDefault="00911EEF" w:rsidP="00557396">
      <w:pPr>
        <w:pStyle w:val="0Maintext"/>
        <w:spacing w:after="120" w:afterAutospacing="0" w:line="240" w:lineRule="auto"/>
        <w:ind w:firstLine="0"/>
        <w:rPr>
          <w:b/>
          <w:bCs/>
          <w:i/>
          <w:iCs/>
          <w:lang w:val="en-US"/>
        </w:rPr>
      </w:pPr>
      <w:r w:rsidRPr="00911EEF">
        <w:rPr>
          <w:b/>
          <w:bCs/>
          <w:i/>
          <w:iCs/>
          <w:lang w:val="en-US"/>
        </w:rPr>
        <w:t>Proposal 2: Support to introduce a second beam application delay for unified TCI indication with serving cell change.</w:t>
      </w:r>
    </w:p>
    <w:p w:rsidR="00911EEF" w:rsidRDefault="00911EEF" w:rsidP="00557396">
      <w:pPr>
        <w:pStyle w:val="0Maintext"/>
        <w:spacing w:after="120" w:afterAutospacing="0" w:line="240" w:lineRule="auto"/>
        <w:ind w:firstLine="0"/>
        <w:rPr>
          <w:lang w:val="en-US"/>
        </w:rPr>
      </w:pPr>
      <w:r>
        <w:rPr>
          <w:lang w:val="en-US"/>
        </w:rPr>
        <w:t xml:space="preserve">In addition, current unified TCI indication is based on L1 ACK. There is no L2/L3 ACK mechanism as the handover procedure. It is possible for misunderstanding between the gNB and UE on the ACK/NACK status for the </w:t>
      </w:r>
      <w:r w:rsidR="007C2BB2">
        <w:rPr>
          <w:lang w:val="en-US"/>
        </w:rPr>
        <w:t>unified TCI indication. There can be the following two cases:</w:t>
      </w:r>
    </w:p>
    <w:p w:rsidR="007C2BB2" w:rsidRDefault="007C2BB2" w:rsidP="007C2BB2">
      <w:pPr>
        <w:pStyle w:val="0Maintext"/>
        <w:numPr>
          <w:ilvl w:val="0"/>
          <w:numId w:val="30"/>
        </w:numPr>
        <w:spacing w:after="120" w:afterAutospacing="0" w:line="240" w:lineRule="auto"/>
        <w:rPr>
          <w:lang w:val="en-US"/>
        </w:rPr>
      </w:pPr>
      <w:r>
        <w:rPr>
          <w:lang w:val="en-US"/>
        </w:rPr>
        <w:t>Case 1: UE transmits an ACK for the TCI indication, but gNB decodes it as NACK/DTX</w:t>
      </w:r>
    </w:p>
    <w:p w:rsidR="007C2BB2" w:rsidRDefault="007C2BB2" w:rsidP="007C2BB2">
      <w:pPr>
        <w:pStyle w:val="0Maintext"/>
        <w:numPr>
          <w:ilvl w:val="0"/>
          <w:numId w:val="30"/>
        </w:numPr>
        <w:spacing w:after="120" w:afterAutospacing="0" w:line="240" w:lineRule="auto"/>
        <w:rPr>
          <w:lang w:val="en-US"/>
        </w:rPr>
      </w:pPr>
      <w:r>
        <w:rPr>
          <w:lang w:val="en-US"/>
        </w:rPr>
        <w:t>Case 2: UE transmits a NACK/DTX for the TCI indication, but gNB decodes it as an ACK</w:t>
      </w:r>
    </w:p>
    <w:p w:rsidR="007C2BB2" w:rsidRDefault="007C2BB2" w:rsidP="00557396">
      <w:pPr>
        <w:pStyle w:val="0Maintext"/>
        <w:spacing w:after="120" w:afterAutospacing="0" w:line="240" w:lineRule="auto"/>
        <w:ind w:firstLine="0"/>
        <w:rPr>
          <w:lang w:val="en-US"/>
        </w:rPr>
      </w:pPr>
      <w:r>
        <w:rPr>
          <w:lang w:val="en-US"/>
        </w:rPr>
        <w:t>Then the NW and UE could have misunderstanding on the serving cell. Some fallback operation should be studied with regard to the potential incorrect detection of ACK/NACK for unified TCI indication.</w:t>
      </w:r>
    </w:p>
    <w:p w:rsidR="007C2BB2" w:rsidRPr="007C2BB2" w:rsidRDefault="007C2BB2" w:rsidP="00557396">
      <w:pPr>
        <w:pStyle w:val="0Maintext"/>
        <w:spacing w:after="120" w:afterAutospacing="0" w:line="240" w:lineRule="auto"/>
        <w:ind w:firstLine="0"/>
        <w:rPr>
          <w:b/>
          <w:bCs/>
          <w:i/>
          <w:iCs/>
          <w:lang w:val="en-US"/>
        </w:rPr>
      </w:pPr>
      <w:r w:rsidRPr="007C2BB2">
        <w:rPr>
          <w:b/>
          <w:bCs/>
          <w:i/>
          <w:iCs/>
          <w:lang w:val="en-US"/>
        </w:rPr>
        <w:t>Proposal 3: Study fallback operation with regard to incorrect detection of ACK/NACK for unified TCI indication that requires serving cell change.</w:t>
      </w:r>
    </w:p>
    <w:p w:rsidR="007C2BB2" w:rsidRDefault="007C2BB2" w:rsidP="007C2BB2">
      <w:pPr>
        <w:pStyle w:val="Heading1"/>
      </w:pPr>
      <w:r>
        <w:t>Beam measurement and report for Rel-18 mobility</w:t>
      </w:r>
    </w:p>
    <w:p w:rsidR="007C2BB2" w:rsidRDefault="007C2BB2" w:rsidP="00557396">
      <w:pPr>
        <w:pStyle w:val="0Maintext"/>
        <w:spacing w:after="120" w:afterAutospacing="0" w:line="240" w:lineRule="auto"/>
        <w:ind w:firstLine="0"/>
        <w:rPr>
          <w:lang w:val="en-US"/>
        </w:rPr>
      </w:pPr>
      <w:r>
        <w:rPr>
          <w:lang w:val="en-US"/>
        </w:rPr>
        <w:t xml:space="preserve">The </w:t>
      </w:r>
      <w:r w:rsidR="00281CF7">
        <w:rPr>
          <w:lang w:val="en-US"/>
        </w:rPr>
        <w:t xml:space="preserve">time difference between the </w:t>
      </w:r>
      <w:r>
        <w:rPr>
          <w:lang w:val="en-US"/>
        </w:rPr>
        <w:t xml:space="preserve">downlink signals from the source cell and target cell may be </w:t>
      </w:r>
      <w:r w:rsidR="00281CF7">
        <w:rPr>
          <w:lang w:val="en-US"/>
        </w:rPr>
        <w:t>above CP</w:t>
      </w:r>
      <w:r>
        <w:rPr>
          <w:lang w:val="en-US"/>
        </w:rPr>
        <w:t xml:space="preserve">. Then for beam measurement and report, it is possible that the UE cannot receive the downlink signals from two cells simultaneously. Instead, a L1 measurement gap can be considered when the UE is configured to measure </w:t>
      </w:r>
      <w:r w:rsidR="00281CF7">
        <w:rPr>
          <w:lang w:val="en-US"/>
        </w:rPr>
        <w:t xml:space="preserve">the neighbor cell downlink signals. </w:t>
      </w:r>
    </w:p>
    <w:p w:rsidR="00281CF7" w:rsidRDefault="00281CF7" w:rsidP="00557396">
      <w:pPr>
        <w:pStyle w:val="0Maintext"/>
        <w:spacing w:after="120" w:afterAutospacing="0" w:line="240" w:lineRule="auto"/>
        <w:ind w:firstLine="0"/>
        <w:rPr>
          <w:lang w:val="en-US"/>
        </w:rPr>
      </w:pPr>
      <w:r>
        <w:rPr>
          <w:lang w:val="en-US"/>
        </w:rPr>
        <w:t>Compared to the MG used for L3 measurement, the duration for L1 MG can be much smaller. The inter-cell beam measurement does not require the UE to perform blind detection. Since inter-cell BM is utilized, the two cells should have some kind of synchronization. Therefore, the L1 MG can be defined in symbol-level. With regard to L1-RSRP/L1-SINR report and CBD, the L1 MG can be introduced for the corresponding SSB/CSI-RS from the neighbor cells configured for L1-RSRP/L1-SINR report or CBD.</w:t>
      </w:r>
    </w:p>
    <w:p w:rsidR="00281CF7" w:rsidRPr="00281CF7" w:rsidRDefault="00281CF7" w:rsidP="00557396">
      <w:pPr>
        <w:pStyle w:val="0Maintext"/>
        <w:spacing w:after="120" w:afterAutospacing="0" w:line="240" w:lineRule="auto"/>
        <w:ind w:firstLine="0"/>
        <w:rPr>
          <w:b/>
          <w:bCs/>
          <w:i/>
          <w:iCs/>
          <w:lang w:val="en-US"/>
        </w:rPr>
      </w:pPr>
      <w:r w:rsidRPr="00281CF7">
        <w:rPr>
          <w:b/>
          <w:bCs/>
          <w:i/>
          <w:iCs/>
          <w:lang w:val="en-US"/>
        </w:rPr>
        <w:t>Proposal 4: Support to introduce symbol-level L1 measurement gap for SSB/CSI-RS from the neighbor cells configured for L1-RSRP/L1-SINR report or CBD.</w:t>
      </w:r>
    </w:p>
    <w:p w:rsidR="00281CF7" w:rsidRDefault="00281CF7" w:rsidP="00281CF7">
      <w:pPr>
        <w:pStyle w:val="Heading1"/>
      </w:pPr>
      <w:r>
        <w:t>BFR for Rel-18 mobility</w:t>
      </w:r>
    </w:p>
    <w:p w:rsidR="00281CF7" w:rsidRDefault="00FD10E5" w:rsidP="00557396">
      <w:pPr>
        <w:pStyle w:val="0Maintext"/>
        <w:spacing w:after="120" w:afterAutospacing="0" w:line="240" w:lineRule="auto"/>
        <w:ind w:firstLine="0"/>
        <w:rPr>
          <w:lang w:val="en-US"/>
        </w:rPr>
      </w:pPr>
      <w:r>
        <w:rPr>
          <w:lang w:val="en-US"/>
        </w:rPr>
        <w:t>In Rel-17, after receiving the BFR response, the UE can update the beam for the channels that share the indicated unified TCI based on the reported new beam. However, the indicated unified TCI should be applicable for dedicated signals only with regard to inter-cell BM. If inter-cell mobility is considered, the UE can update the beam for the channels including both dedicated channel and non-dedicated channels if the new beam is associated with a target cell, which requires a serving cell change. Further the 28 symbols delay to update the beam should be insufficient for UE to switch to the new serving cell. Some additional delay for serving cell change should be introduced.</w:t>
      </w:r>
    </w:p>
    <w:p w:rsidR="00FD10E5" w:rsidRPr="00FD10E5" w:rsidRDefault="00FD10E5" w:rsidP="00557396">
      <w:pPr>
        <w:pStyle w:val="0Maintext"/>
        <w:spacing w:after="120" w:afterAutospacing="0" w:line="240" w:lineRule="auto"/>
        <w:ind w:firstLine="0"/>
        <w:rPr>
          <w:b/>
          <w:bCs/>
          <w:i/>
          <w:iCs/>
          <w:lang w:val="en-US"/>
        </w:rPr>
      </w:pPr>
      <w:r w:rsidRPr="00FD10E5">
        <w:rPr>
          <w:b/>
          <w:bCs/>
          <w:i/>
          <w:iCs/>
          <w:lang w:val="en-US"/>
        </w:rPr>
        <w:lastRenderedPageBreak/>
        <w:t>Proposal 5: Support the UE updates the beam for channels including both dedicated and non-dedicated channels based on the newly reported beam requiring serving cell change after 28+X symbols after the UE receives the BFR response</w:t>
      </w:r>
    </w:p>
    <w:p w:rsidR="00FD10E5" w:rsidRPr="00FD10E5" w:rsidRDefault="00FD10E5" w:rsidP="00FD10E5">
      <w:pPr>
        <w:pStyle w:val="0Maintext"/>
        <w:numPr>
          <w:ilvl w:val="0"/>
          <w:numId w:val="31"/>
        </w:numPr>
        <w:spacing w:after="120" w:afterAutospacing="0" w:line="240" w:lineRule="auto"/>
        <w:rPr>
          <w:b/>
          <w:bCs/>
          <w:i/>
          <w:iCs/>
          <w:lang w:val="en-US"/>
        </w:rPr>
      </w:pPr>
      <w:r w:rsidRPr="00FD10E5">
        <w:rPr>
          <w:b/>
          <w:bCs/>
          <w:i/>
          <w:iCs/>
          <w:lang w:val="en-US"/>
        </w:rPr>
        <w:t>X is the delay for serving cell change</w:t>
      </w:r>
    </w:p>
    <w:p w:rsidR="00C42331" w:rsidRPr="0061491E" w:rsidRDefault="00C42331" w:rsidP="00557396">
      <w:pPr>
        <w:pStyle w:val="0Maintext"/>
        <w:spacing w:after="120" w:afterAutospacing="0" w:line="240" w:lineRule="auto"/>
        <w:ind w:firstLine="0"/>
        <w:rPr>
          <w:bCs/>
          <w:iCs/>
          <w:lang w:val="en-US"/>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FD10E5">
        <w:rPr>
          <w:lang w:val="en-US" w:eastAsia="zh-CN"/>
        </w:rPr>
        <w:t>inter-cell BM enhancement for Rel-18 mobility enhancement</w:t>
      </w:r>
      <w:r>
        <w:rPr>
          <w:lang w:val="en-US" w:eastAsia="zh-CN"/>
        </w:rPr>
        <w:t xml:space="preserve">. Based on the discussion, the following </w:t>
      </w:r>
      <w:r w:rsidR="00FD10E5">
        <w:rPr>
          <w:lang w:val="en-US" w:eastAsia="zh-CN"/>
        </w:rPr>
        <w:t xml:space="preserve">observations and </w:t>
      </w:r>
      <w:r>
        <w:rPr>
          <w:lang w:val="en-US" w:eastAsia="zh-CN"/>
        </w:rPr>
        <w:t>proposals have been achieved.</w:t>
      </w:r>
    </w:p>
    <w:p w:rsidR="00FD10E5" w:rsidRPr="00CC66DF" w:rsidRDefault="00FD10E5" w:rsidP="00FD10E5">
      <w:pPr>
        <w:pStyle w:val="0Maintext"/>
        <w:spacing w:after="120" w:afterAutospacing="0" w:line="240" w:lineRule="auto"/>
        <w:ind w:firstLine="0"/>
        <w:rPr>
          <w:b/>
          <w:bCs/>
          <w:i/>
          <w:iCs/>
          <w:lang w:val="en-US"/>
        </w:rPr>
      </w:pPr>
      <w:r w:rsidRPr="00CC66DF">
        <w:rPr>
          <w:b/>
          <w:bCs/>
          <w:i/>
          <w:iCs/>
          <w:lang w:val="en-US"/>
        </w:rPr>
        <w:t>Observation 1: In Rel-17, inter-cell BM is only applicable for dedicated signals.</w:t>
      </w:r>
    </w:p>
    <w:p w:rsidR="00FD10E5" w:rsidRPr="00CC66DF" w:rsidRDefault="00FD10E5" w:rsidP="00FD10E5">
      <w:pPr>
        <w:pStyle w:val="0Maintext"/>
        <w:spacing w:after="120" w:afterAutospacing="0" w:line="240" w:lineRule="auto"/>
        <w:ind w:firstLine="0"/>
        <w:rPr>
          <w:b/>
          <w:bCs/>
          <w:i/>
          <w:iCs/>
          <w:lang w:val="en-US"/>
        </w:rPr>
      </w:pPr>
      <w:r w:rsidRPr="00CC66DF">
        <w:rPr>
          <w:b/>
          <w:bCs/>
          <w:i/>
          <w:iCs/>
          <w:lang w:val="en-US"/>
        </w:rPr>
        <w:t>Observation 2: In Rel-17, intra-cell BM and inter-cell BM share the same TCI indication framework and action delay.</w:t>
      </w:r>
    </w:p>
    <w:p w:rsidR="00FD10E5" w:rsidRPr="00CC66DF" w:rsidRDefault="00FD10E5" w:rsidP="00FD10E5">
      <w:pPr>
        <w:pStyle w:val="0Maintext"/>
        <w:spacing w:after="120" w:afterAutospacing="0" w:line="240" w:lineRule="auto"/>
        <w:ind w:firstLine="0"/>
        <w:rPr>
          <w:b/>
          <w:bCs/>
          <w:i/>
          <w:iCs/>
          <w:lang w:val="en-US"/>
        </w:rPr>
      </w:pPr>
      <w:r w:rsidRPr="00CC66DF">
        <w:rPr>
          <w:b/>
          <w:bCs/>
          <w:i/>
          <w:iCs/>
          <w:lang w:val="en-US"/>
        </w:rPr>
        <w:t>Observation 3: Rel-17 supports BFR operation based on a neighbor cell CBD RS.</w:t>
      </w:r>
    </w:p>
    <w:p w:rsidR="00FF28A9" w:rsidRDefault="00FF28A9" w:rsidP="00C42331">
      <w:pPr>
        <w:pStyle w:val="0Maintext"/>
        <w:spacing w:after="120" w:afterAutospacing="0" w:line="240" w:lineRule="auto"/>
        <w:ind w:firstLine="0"/>
        <w:rPr>
          <w:b/>
          <w:i/>
          <w:lang w:val="en-US"/>
        </w:rPr>
      </w:pPr>
    </w:p>
    <w:p w:rsidR="00FD10E5" w:rsidRDefault="00FD10E5" w:rsidP="00FD10E5">
      <w:pPr>
        <w:pStyle w:val="0Maintext"/>
        <w:spacing w:after="120" w:afterAutospacing="0" w:line="240" w:lineRule="auto"/>
        <w:ind w:firstLine="0"/>
        <w:rPr>
          <w:b/>
          <w:bCs/>
          <w:i/>
          <w:iCs/>
          <w:lang w:val="en-US"/>
        </w:rPr>
      </w:pPr>
      <w:r w:rsidRPr="00BD6CCE">
        <w:rPr>
          <w:b/>
          <w:bCs/>
          <w:i/>
          <w:iCs/>
          <w:lang w:val="en-US"/>
        </w:rPr>
        <w:t xml:space="preserve">Proposal 1: For Rel-18 mobility, the indicated unified TCI applied </w:t>
      </w:r>
      <w:r>
        <w:rPr>
          <w:b/>
          <w:bCs/>
          <w:i/>
          <w:iCs/>
          <w:lang w:val="en-US"/>
        </w:rPr>
        <w:t xml:space="preserve">associated with a neighbor cell SSB </w:t>
      </w:r>
      <w:r w:rsidRPr="00BD6CCE">
        <w:rPr>
          <w:b/>
          <w:bCs/>
          <w:i/>
          <w:iCs/>
          <w:lang w:val="en-US"/>
        </w:rPr>
        <w:t>to dedicated signals can also be applicable to non-UE dedicated signals.</w:t>
      </w:r>
    </w:p>
    <w:p w:rsidR="00FD10E5" w:rsidRDefault="00FD10E5" w:rsidP="00FD10E5">
      <w:pPr>
        <w:pStyle w:val="0Maintext"/>
        <w:numPr>
          <w:ilvl w:val="0"/>
          <w:numId w:val="29"/>
        </w:numPr>
        <w:spacing w:after="120" w:afterAutospacing="0" w:line="240" w:lineRule="auto"/>
        <w:rPr>
          <w:b/>
          <w:bCs/>
          <w:i/>
          <w:iCs/>
          <w:lang w:val="en-US"/>
        </w:rPr>
      </w:pPr>
      <w:r>
        <w:rPr>
          <w:b/>
          <w:bCs/>
          <w:i/>
          <w:iCs/>
          <w:lang w:val="en-US"/>
        </w:rPr>
        <w:t xml:space="preserve">If the indicated TCI is applied to non-UE dedicated signals, UE shall assume the serving cell should change </w:t>
      </w:r>
    </w:p>
    <w:p w:rsidR="00FD10E5" w:rsidRPr="00BD6CCE" w:rsidRDefault="00FD10E5" w:rsidP="00FD10E5">
      <w:pPr>
        <w:pStyle w:val="0Maintext"/>
        <w:numPr>
          <w:ilvl w:val="0"/>
          <w:numId w:val="29"/>
        </w:numPr>
        <w:spacing w:after="120" w:afterAutospacing="0" w:line="240" w:lineRule="auto"/>
        <w:rPr>
          <w:b/>
          <w:bCs/>
          <w:i/>
          <w:iCs/>
          <w:lang w:val="en-US"/>
        </w:rPr>
      </w:pPr>
      <w:r>
        <w:rPr>
          <w:b/>
          <w:bCs/>
          <w:i/>
          <w:iCs/>
          <w:lang w:val="en-US"/>
        </w:rPr>
        <w:t>Otherwise, UE shall not assume the serving cell should change</w:t>
      </w:r>
    </w:p>
    <w:p w:rsidR="00FD10E5" w:rsidRPr="00911EEF" w:rsidRDefault="00FD10E5" w:rsidP="00FD10E5">
      <w:pPr>
        <w:pStyle w:val="0Maintext"/>
        <w:spacing w:after="120" w:afterAutospacing="0" w:line="240" w:lineRule="auto"/>
        <w:ind w:firstLine="0"/>
        <w:rPr>
          <w:b/>
          <w:bCs/>
          <w:i/>
          <w:iCs/>
          <w:lang w:val="en-US"/>
        </w:rPr>
      </w:pPr>
      <w:r w:rsidRPr="00911EEF">
        <w:rPr>
          <w:b/>
          <w:bCs/>
          <w:i/>
          <w:iCs/>
          <w:lang w:val="en-US"/>
        </w:rPr>
        <w:t>Proposal 2: Support to introduce a second beam application delay for unified TCI indication with serving cell change.</w:t>
      </w:r>
    </w:p>
    <w:p w:rsidR="00FD10E5" w:rsidRPr="007C2BB2" w:rsidRDefault="00FD10E5" w:rsidP="00FD10E5">
      <w:pPr>
        <w:pStyle w:val="0Maintext"/>
        <w:spacing w:after="120" w:afterAutospacing="0" w:line="240" w:lineRule="auto"/>
        <w:ind w:firstLine="0"/>
        <w:rPr>
          <w:b/>
          <w:bCs/>
          <w:i/>
          <w:iCs/>
          <w:lang w:val="en-US"/>
        </w:rPr>
      </w:pPr>
      <w:r w:rsidRPr="007C2BB2">
        <w:rPr>
          <w:b/>
          <w:bCs/>
          <w:i/>
          <w:iCs/>
          <w:lang w:val="en-US"/>
        </w:rPr>
        <w:t>Proposal 3: Study fallback operation with regard to incorrect detection of ACK/NACK for unified TCI indication that requires serving cell change.</w:t>
      </w:r>
    </w:p>
    <w:p w:rsidR="00FD10E5" w:rsidRPr="00281CF7" w:rsidRDefault="00FD10E5" w:rsidP="00FD10E5">
      <w:pPr>
        <w:pStyle w:val="0Maintext"/>
        <w:spacing w:after="120" w:afterAutospacing="0" w:line="240" w:lineRule="auto"/>
        <w:ind w:firstLine="0"/>
        <w:rPr>
          <w:b/>
          <w:bCs/>
          <w:i/>
          <w:iCs/>
          <w:lang w:val="en-US"/>
        </w:rPr>
      </w:pPr>
      <w:r w:rsidRPr="00281CF7">
        <w:rPr>
          <w:b/>
          <w:bCs/>
          <w:i/>
          <w:iCs/>
          <w:lang w:val="en-US"/>
        </w:rPr>
        <w:t>Proposal 4: Support to introduce symbol-level L1 measurement gap for SSB/CSI-RS from the neighbor cells configured for L1-RSRP/L1-SINR report or CBD.</w:t>
      </w:r>
    </w:p>
    <w:p w:rsidR="00FD10E5" w:rsidRPr="00FD10E5" w:rsidRDefault="00FD10E5" w:rsidP="00FD10E5">
      <w:pPr>
        <w:pStyle w:val="0Maintext"/>
        <w:spacing w:after="120" w:afterAutospacing="0" w:line="240" w:lineRule="auto"/>
        <w:ind w:firstLine="0"/>
        <w:rPr>
          <w:b/>
          <w:bCs/>
          <w:i/>
          <w:iCs/>
          <w:lang w:val="en-US"/>
        </w:rPr>
      </w:pPr>
      <w:r w:rsidRPr="00FD10E5">
        <w:rPr>
          <w:b/>
          <w:bCs/>
          <w:i/>
          <w:iCs/>
          <w:lang w:val="en-US"/>
        </w:rPr>
        <w:t>Proposal 5: Support the UE updates the beam for channels including both dedicated and non-dedicated channels based on the newly reported beam requiring serving cell change after 28+X symbols after the UE receives the BFR response</w:t>
      </w:r>
    </w:p>
    <w:p w:rsidR="00FD10E5" w:rsidRPr="00FD10E5" w:rsidRDefault="00FD10E5" w:rsidP="00FD10E5">
      <w:pPr>
        <w:pStyle w:val="0Maintext"/>
        <w:numPr>
          <w:ilvl w:val="0"/>
          <w:numId w:val="31"/>
        </w:numPr>
        <w:spacing w:after="120" w:afterAutospacing="0" w:line="240" w:lineRule="auto"/>
        <w:rPr>
          <w:b/>
          <w:bCs/>
          <w:i/>
          <w:iCs/>
          <w:lang w:val="en-US"/>
        </w:rPr>
      </w:pPr>
      <w:r w:rsidRPr="00FD10E5">
        <w:rPr>
          <w:b/>
          <w:bCs/>
          <w:i/>
          <w:iCs/>
          <w:lang w:val="en-US"/>
        </w:rPr>
        <w:t>X is the delay for serving cell change</w:t>
      </w:r>
    </w:p>
    <w:p w:rsidR="00FD10E5" w:rsidRPr="00F92E33" w:rsidRDefault="00FD10E5" w:rsidP="00C42331">
      <w:pPr>
        <w:pStyle w:val="0Maintext"/>
        <w:spacing w:after="120" w:afterAutospacing="0" w:line="240" w:lineRule="auto"/>
        <w:ind w:firstLine="0"/>
        <w:rPr>
          <w:b/>
          <w:i/>
          <w:lang w:val="en-US"/>
        </w:rPr>
      </w:pPr>
    </w:p>
    <w:sectPr w:rsidR="00FD10E5" w:rsidRPr="00F92E3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9A5A76"/>
    <w:multiLevelType w:val="hybridMultilevel"/>
    <w:tmpl w:val="5C22F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D4D4091"/>
    <w:multiLevelType w:val="hybridMultilevel"/>
    <w:tmpl w:val="7E1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8E2097"/>
    <w:multiLevelType w:val="hybridMultilevel"/>
    <w:tmpl w:val="CBA2C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79461E9"/>
    <w:multiLevelType w:val="hybridMultilevel"/>
    <w:tmpl w:val="DF0A3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E7A6EE0"/>
    <w:multiLevelType w:val="hybridMultilevel"/>
    <w:tmpl w:val="ACE6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6F4491"/>
    <w:multiLevelType w:val="hybridMultilevel"/>
    <w:tmpl w:val="643CA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9970D6D"/>
    <w:multiLevelType w:val="hybridMultilevel"/>
    <w:tmpl w:val="1312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8E7B9C"/>
    <w:multiLevelType w:val="hybridMultilevel"/>
    <w:tmpl w:val="C1CEA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649679873">
    <w:abstractNumId w:val="0"/>
  </w:num>
  <w:num w:numId="2" w16cid:durableId="1047484111">
    <w:abstractNumId w:val="15"/>
  </w:num>
  <w:num w:numId="3" w16cid:durableId="1291010930">
    <w:abstractNumId w:val="20"/>
  </w:num>
  <w:num w:numId="4" w16cid:durableId="1095134973">
    <w:abstractNumId w:val="19"/>
  </w:num>
  <w:num w:numId="5" w16cid:durableId="1641223975">
    <w:abstractNumId w:val="12"/>
  </w:num>
  <w:num w:numId="6" w16cid:durableId="564610010">
    <w:abstractNumId w:val="23"/>
  </w:num>
  <w:num w:numId="7" w16cid:durableId="577132295">
    <w:abstractNumId w:val="6"/>
  </w:num>
  <w:num w:numId="8" w16cid:durableId="617444232">
    <w:abstractNumId w:val="11"/>
  </w:num>
  <w:num w:numId="9" w16cid:durableId="1741826848">
    <w:abstractNumId w:val="18"/>
  </w:num>
  <w:num w:numId="10" w16cid:durableId="204176157">
    <w:abstractNumId w:val="25"/>
  </w:num>
  <w:num w:numId="11" w16cid:durableId="2075464340">
    <w:abstractNumId w:val="29"/>
  </w:num>
  <w:num w:numId="12" w16cid:durableId="134567778">
    <w:abstractNumId w:val="13"/>
  </w:num>
  <w:num w:numId="13" w16cid:durableId="1036003743">
    <w:abstractNumId w:val="22"/>
  </w:num>
  <w:num w:numId="14" w16cid:durableId="1516190854">
    <w:abstractNumId w:val="5"/>
  </w:num>
  <w:num w:numId="15" w16cid:durableId="667904329">
    <w:abstractNumId w:val="28"/>
  </w:num>
  <w:num w:numId="16" w16cid:durableId="749228951">
    <w:abstractNumId w:val="26"/>
  </w:num>
  <w:num w:numId="17" w16cid:durableId="654139330">
    <w:abstractNumId w:val="27"/>
  </w:num>
  <w:num w:numId="18" w16cid:durableId="37442205">
    <w:abstractNumId w:val="21"/>
  </w:num>
  <w:num w:numId="19" w16cid:durableId="452796089">
    <w:abstractNumId w:val="20"/>
  </w:num>
  <w:num w:numId="20" w16cid:durableId="947349516">
    <w:abstractNumId w:val="14"/>
  </w:num>
  <w:num w:numId="21" w16cid:durableId="123163289">
    <w:abstractNumId w:val="8"/>
  </w:num>
  <w:num w:numId="22" w16cid:durableId="892035091">
    <w:abstractNumId w:val="7"/>
  </w:num>
  <w:num w:numId="23" w16cid:durableId="1978486">
    <w:abstractNumId w:val="3"/>
  </w:num>
  <w:num w:numId="24" w16cid:durableId="1452360992">
    <w:abstractNumId w:val="10"/>
  </w:num>
  <w:num w:numId="25" w16cid:durableId="501893973">
    <w:abstractNumId w:val="17"/>
  </w:num>
  <w:num w:numId="26" w16cid:durableId="766006395">
    <w:abstractNumId w:val="1"/>
  </w:num>
  <w:num w:numId="27" w16cid:durableId="878904140">
    <w:abstractNumId w:val="24"/>
  </w:num>
  <w:num w:numId="28" w16cid:durableId="905073282">
    <w:abstractNumId w:val="4"/>
  </w:num>
  <w:num w:numId="29" w16cid:durableId="81534500">
    <w:abstractNumId w:val="2"/>
  </w:num>
  <w:num w:numId="30" w16cid:durableId="2106489978">
    <w:abstractNumId w:val="9"/>
  </w:num>
  <w:num w:numId="31" w16cid:durableId="1958951890">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37C8D"/>
    <w:rsid w:val="000A1909"/>
    <w:rsid w:val="000A60ED"/>
    <w:rsid w:val="00105DE0"/>
    <w:rsid w:val="00122C70"/>
    <w:rsid w:val="0015468B"/>
    <w:rsid w:val="00167245"/>
    <w:rsid w:val="001922F1"/>
    <w:rsid w:val="001D3923"/>
    <w:rsid w:val="001D7163"/>
    <w:rsid w:val="001E1D5D"/>
    <w:rsid w:val="001E4CFE"/>
    <w:rsid w:val="001F1EBF"/>
    <w:rsid w:val="00223C15"/>
    <w:rsid w:val="00226209"/>
    <w:rsid w:val="00253282"/>
    <w:rsid w:val="002548E6"/>
    <w:rsid w:val="00275881"/>
    <w:rsid w:val="00281CF7"/>
    <w:rsid w:val="002D719B"/>
    <w:rsid w:val="00303A87"/>
    <w:rsid w:val="0030732C"/>
    <w:rsid w:val="00330D34"/>
    <w:rsid w:val="00346E6B"/>
    <w:rsid w:val="00356E4B"/>
    <w:rsid w:val="00375357"/>
    <w:rsid w:val="003976BE"/>
    <w:rsid w:val="003C00AB"/>
    <w:rsid w:val="003D2036"/>
    <w:rsid w:val="003D4627"/>
    <w:rsid w:val="003F4028"/>
    <w:rsid w:val="00417C58"/>
    <w:rsid w:val="00431006"/>
    <w:rsid w:val="00431501"/>
    <w:rsid w:val="00431BE9"/>
    <w:rsid w:val="00477892"/>
    <w:rsid w:val="00491EBA"/>
    <w:rsid w:val="004951DA"/>
    <w:rsid w:val="004B588D"/>
    <w:rsid w:val="004C65E3"/>
    <w:rsid w:val="0050593E"/>
    <w:rsid w:val="00557396"/>
    <w:rsid w:val="005635BB"/>
    <w:rsid w:val="005A2726"/>
    <w:rsid w:val="005B55AC"/>
    <w:rsid w:val="00606763"/>
    <w:rsid w:val="0061491E"/>
    <w:rsid w:val="00617F76"/>
    <w:rsid w:val="00640857"/>
    <w:rsid w:val="00660865"/>
    <w:rsid w:val="00687F40"/>
    <w:rsid w:val="006A5206"/>
    <w:rsid w:val="006E53C6"/>
    <w:rsid w:val="006F4725"/>
    <w:rsid w:val="007520FE"/>
    <w:rsid w:val="00763A34"/>
    <w:rsid w:val="00781DD5"/>
    <w:rsid w:val="00792998"/>
    <w:rsid w:val="007A63FA"/>
    <w:rsid w:val="007C2BB2"/>
    <w:rsid w:val="007F3937"/>
    <w:rsid w:val="00826E9C"/>
    <w:rsid w:val="008443A3"/>
    <w:rsid w:val="008766FE"/>
    <w:rsid w:val="008864BC"/>
    <w:rsid w:val="008A6337"/>
    <w:rsid w:val="008C065D"/>
    <w:rsid w:val="008D04EC"/>
    <w:rsid w:val="008D4BCD"/>
    <w:rsid w:val="008E42B2"/>
    <w:rsid w:val="008E7132"/>
    <w:rsid w:val="00905082"/>
    <w:rsid w:val="00906A9A"/>
    <w:rsid w:val="00911EEF"/>
    <w:rsid w:val="00914B21"/>
    <w:rsid w:val="00922457"/>
    <w:rsid w:val="009366FD"/>
    <w:rsid w:val="00953F61"/>
    <w:rsid w:val="009B0A18"/>
    <w:rsid w:val="009C1B6C"/>
    <w:rsid w:val="009C1CAB"/>
    <w:rsid w:val="009D0133"/>
    <w:rsid w:val="009E3DB7"/>
    <w:rsid w:val="009E5063"/>
    <w:rsid w:val="009F2D93"/>
    <w:rsid w:val="009F6087"/>
    <w:rsid w:val="00A17BEA"/>
    <w:rsid w:val="00A316C9"/>
    <w:rsid w:val="00A42238"/>
    <w:rsid w:val="00A448D2"/>
    <w:rsid w:val="00A90297"/>
    <w:rsid w:val="00A93065"/>
    <w:rsid w:val="00AA2E73"/>
    <w:rsid w:val="00AC0A67"/>
    <w:rsid w:val="00AD4009"/>
    <w:rsid w:val="00AE467A"/>
    <w:rsid w:val="00B01671"/>
    <w:rsid w:val="00B02C9F"/>
    <w:rsid w:val="00B1188E"/>
    <w:rsid w:val="00B3722D"/>
    <w:rsid w:val="00B71A0E"/>
    <w:rsid w:val="00B8306C"/>
    <w:rsid w:val="00B93343"/>
    <w:rsid w:val="00BA48C8"/>
    <w:rsid w:val="00BD6CCE"/>
    <w:rsid w:val="00BE15BB"/>
    <w:rsid w:val="00C031C3"/>
    <w:rsid w:val="00C03A21"/>
    <w:rsid w:val="00C04D65"/>
    <w:rsid w:val="00C10D36"/>
    <w:rsid w:val="00C132FE"/>
    <w:rsid w:val="00C1419D"/>
    <w:rsid w:val="00C27E72"/>
    <w:rsid w:val="00C42331"/>
    <w:rsid w:val="00C46EAA"/>
    <w:rsid w:val="00C9103E"/>
    <w:rsid w:val="00C9405F"/>
    <w:rsid w:val="00CB1727"/>
    <w:rsid w:val="00CC66DF"/>
    <w:rsid w:val="00CF6D54"/>
    <w:rsid w:val="00D0763A"/>
    <w:rsid w:val="00D13E1E"/>
    <w:rsid w:val="00D1450B"/>
    <w:rsid w:val="00D518D9"/>
    <w:rsid w:val="00D542B4"/>
    <w:rsid w:val="00D616A3"/>
    <w:rsid w:val="00D719D5"/>
    <w:rsid w:val="00D734BD"/>
    <w:rsid w:val="00D97433"/>
    <w:rsid w:val="00DA2FD9"/>
    <w:rsid w:val="00DA6558"/>
    <w:rsid w:val="00DC01E8"/>
    <w:rsid w:val="00DE426C"/>
    <w:rsid w:val="00DE5690"/>
    <w:rsid w:val="00DE5A5E"/>
    <w:rsid w:val="00E03851"/>
    <w:rsid w:val="00E07A91"/>
    <w:rsid w:val="00E2699B"/>
    <w:rsid w:val="00E551FD"/>
    <w:rsid w:val="00E56179"/>
    <w:rsid w:val="00E6265E"/>
    <w:rsid w:val="00E66145"/>
    <w:rsid w:val="00E80A0E"/>
    <w:rsid w:val="00E8201B"/>
    <w:rsid w:val="00E83DAE"/>
    <w:rsid w:val="00E84E4F"/>
    <w:rsid w:val="00EB152A"/>
    <w:rsid w:val="00EF1059"/>
    <w:rsid w:val="00F31ED8"/>
    <w:rsid w:val="00F81399"/>
    <w:rsid w:val="00F92E33"/>
    <w:rsid w:val="00FA0EF5"/>
    <w:rsid w:val="00FD10E5"/>
    <w:rsid w:val="00FE068C"/>
    <w:rsid w:val="00FF2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19FE6"/>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rsid w:val="00E07A91"/>
    <w:rPr>
      <w:rFonts w:ascii="Calibri" w:eastAsia="Malgun Gothic" w:hAnsi="Calibri" w:cs="Calibri"/>
      <w:sz w:val="22"/>
      <w:szCs w:val="22"/>
      <w:lang w:eastAsia="ko-KR"/>
    </w:rPr>
  </w:style>
  <w:style w:type="character" w:customStyle="1" w:styleId="listauto1Char">
    <w:name w:val="list auto 1 Char"/>
    <w:link w:val="listauto1"/>
    <w:locked/>
    <w:rsid w:val="00A93065"/>
    <w:rPr>
      <w:rFonts w:ascii="SimSun" w:eastAsia="SimSun" w:hAnsi="SimSun"/>
      <w:b/>
      <w:bCs/>
      <w:lang w:eastAsia="en-US"/>
    </w:rPr>
  </w:style>
  <w:style w:type="paragraph" w:customStyle="1" w:styleId="listauto1">
    <w:name w:val="list auto 1"/>
    <w:basedOn w:val="Normal"/>
    <w:link w:val="listauto1Char"/>
    <w:rsid w:val="00A93065"/>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A93065"/>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customStyle="1" w:styleId="TAC">
    <w:name w:val="TAC"/>
    <w:basedOn w:val="TAL"/>
    <w:link w:val="TACChar"/>
    <w:qFormat/>
    <w:rsid w:val="00EB152A"/>
    <w:pPr>
      <w:jc w:val="center"/>
    </w:pPr>
    <w:rPr>
      <w:rFonts w:eastAsia="Times New Roman"/>
    </w:rPr>
  </w:style>
  <w:style w:type="character" w:customStyle="1" w:styleId="TACChar">
    <w:name w:val="TAC Char"/>
    <w:link w:val="TAC"/>
    <w:qFormat/>
    <w:locked/>
    <w:rsid w:val="00EB152A"/>
    <w:rPr>
      <w:rFonts w:ascii="Arial" w:eastAsia="Times New Roman" w:hAnsi="Arial" w:cs="Times New Roman"/>
      <w:sz w:val="18"/>
      <w:szCs w:val="20"/>
      <w:lang w:val="en-GB" w:eastAsia="en-US"/>
    </w:rPr>
  </w:style>
  <w:style w:type="paragraph" w:styleId="BodyText">
    <w:name w:val="Body Text"/>
    <w:aliases w:val="bt"/>
    <w:basedOn w:val="Normal"/>
    <w:link w:val="BodyTextChar"/>
    <w:rsid w:val="00330D3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rsid w:val="00330D34"/>
    <w:rPr>
      <w:rFonts w:ascii="Times" w:eastAsia="Batang" w:hAnsi="Times" w:cs="Times New Roman"/>
      <w:sz w:val="20"/>
      <w:szCs w:val="24"/>
      <w:lang w:val="en-GB" w:eastAsia="x-none"/>
    </w:rPr>
  </w:style>
  <w:style w:type="paragraph" w:customStyle="1" w:styleId="bodytext0">
    <w:name w:val="bodytext"/>
    <w:basedOn w:val="Normal"/>
    <w:uiPriority w:val="99"/>
    <w:rsid w:val="00906A9A"/>
    <w:pPr>
      <w:spacing w:before="100" w:beforeAutospacing="1" w:after="100" w:afterAutospacing="1"/>
    </w:pPr>
    <w:rPr>
      <w:rFonts w:ascii="Gulim" w:eastAsia="Gulim" w:hAnsi="Gulim"/>
      <w:lang w:eastAsia="ko-KR"/>
    </w:rPr>
  </w:style>
  <w:style w:type="paragraph" w:customStyle="1" w:styleId="mc-p">
    <w:name w:val="mc-p___"/>
    <w:basedOn w:val="Normal"/>
    <w:rsid w:val="00906A9A"/>
    <w:pPr>
      <w:spacing w:before="100" w:beforeAutospacing="1" w:after="100" w:afterAutospacing="1"/>
    </w:pPr>
    <w:rPr>
      <w:rFonts w:ascii="Calibri" w:eastAsia="Malgun Gothic"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3</Pages>
  <Words>1240</Words>
  <Characters>7071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8295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2022-09-23T02:45:00Z</dcterms:created>
  <dcterms:modified xsi:type="dcterms:W3CDTF">2022-09-28T03:18:00Z</dcterms:modified>
</cp:coreProperties>
</file>